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9DC58" w14:textId="77777777" w:rsidR="00683DFB" w:rsidRPr="000C0C21" w:rsidRDefault="00683DFB" w:rsidP="000C0C21">
      <w:pPr>
        <w:ind w:right="-142" w:firstLine="426"/>
        <w:jc w:val="center"/>
        <w:rPr>
          <w:rFonts w:ascii="Times New Roman" w:hAnsi="Times New Roman"/>
        </w:rPr>
      </w:pPr>
    </w:p>
    <w:p w14:paraId="5A96E27E" w14:textId="25FBC0A2" w:rsidR="002E0935" w:rsidRPr="000C0C21" w:rsidRDefault="002E0935" w:rsidP="000C0C21">
      <w:pPr>
        <w:ind w:right="-142" w:firstLine="426"/>
        <w:jc w:val="center"/>
        <w:rPr>
          <w:rFonts w:ascii="Times New Roman" w:hAnsi="Times New Roman"/>
        </w:rPr>
      </w:pPr>
      <w:r w:rsidRPr="000C0C21">
        <w:rPr>
          <w:rFonts w:ascii="Times New Roman" w:hAnsi="Times New Roman"/>
        </w:rPr>
        <w:t>ПРИЛОЖЕНИЕ 2 към Договор №…../………….</w:t>
      </w:r>
    </w:p>
    <w:p w14:paraId="697BED4A" w14:textId="31733B9F" w:rsidR="00CB37CB" w:rsidRPr="000C0C21" w:rsidRDefault="002E0935" w:rsidP="000C0C21">
      <w:pPr>
        <w:ind w:right="-142" w:firstLine="426"/>
        <w:jc w:val="center"/>
        <w:rPr>
          <w:rFonts w:ascii="Times New Roman" w:hAnsi="Times New Roman"/>
        </w:rPr>
      </w:pPr>
      <w:r w:rsidRPr="000C0C21">
        <w:rPr>
          <w:rFonts w:ascii="Times New Roman" w:hAnsi="Times New Roman"/>
        </w:rPr>
        <w:t xml:space="preserve">за </w:t>
      </w:r>
      <w:r w:rsidR="00FD35B0" w:rsidRPr="000C0C21">
        <w:rPr>
          <w:rFonts w:ascii="Times New Roman" w:hAnsi="Times New Roman"/>
        </w:rPr>
        <w:t xml:space="preserve">внедряване на системи </w:t>
      </w:r>
      <w:r w:rsidRPr="000C0C21">
        <w:rPr>
          <w:rFonts w:ascii="Times New Roman" w:hAnsi="Times New Roman"/>
        </w:rPr>
        <w:t xml:space="preserve">по проект № </w:t>
      </w:r>
      <w:r w:rsidR="00FD35B0" w:rsidRPr="000C0C21">
        <w:rPr>
          <w:rFonts w:ascii="Times New Roman" w:hAnsi="Times New Roman"/>
        </w:rPr>
        <w:t>BG16RFPR001-1.0</w:t>
      </w:r>
      <w:r w:rsidR="001C2324">
        <w:rPr>
          <w:rFonts w:ascii="Times New Roman" w:hAnsi="Times New Roman"/>
        </w:rPr>
        <w:t>08</w:t>
      </w:r>
      <w:r w:rsidR="00FD35B0" w:rsidRPr="000C0C21">
        <w:rPr>
          <w:rFonts w:ascii="Times New Roman" w:hAnsi="Times New Roman"/>
        </w:rPr>
        <w:t>-0</w:t>
      </w:r>
      <w:r w:rsidR="001C2324">
        <w:rPr>
          <w:rFonts w:ascii="Times New Roman" w:hAnsi="Times New Roman"/>
        </w:rPr>
        <w:t>577</w:t>
      </w:r>
    </w:p>
    <w:p w14:paraId="1823A731" w14:textId="791E570B" w:rsidR="00683DFB" w:rsidRPr="000C0C21" w:rsidRDefault="008A068B" w:rsidP="000C0C21">
      <w:pPr>
        <w:ind w:right="-142" w:firstLine="426"/>
        <w:jc w:val="center"/>
        <w:rPr>
          <w:rFonts w:ascii="Times New Roman" w:hAnsi="Times New Roman"/>
        </w:rPr>
      </w:pPr>
      <w:r>
        <w:rPr>
          <w:rFonts w:ascii="Times New Roman" w:hAnsi="Times New Roman"/>
        </w:rPr>
        <w:t xml:space="preserve"> </w:t>
      </w:r>
    </w:p>
    <w:p w14:paraId="524B10D7" w14:textId="38FD47BD" w:rsidR="002E0935" w:rsidRPr="000C0C21" w:rsidRDefault="00DF6174" w:rsidP="000C0C21">
      <w:pPr>
        <w:ind w:right="-142" w:firstLine="426"/>
        <w:rPr>
          <w:rFonts w:ascii="Times New Roman" w:hAnsi="Times New Roman"/>
        </w:rPr>
      </w:pPr>
      <w:r>
        <w:rPr>
          <w:rFonts w:ascii="Times New Roman" w:hAnsi="Times New Roman"/>
        </w:rPr>
        <w:t xml:space="preserve"> </w:t>
      </w:r>
    </w:p>
    <w:p w14:paraId="24D1E398" w14:textId="6B0EBF40" w:rsidR="002E0935" w:rsidRPr="000C0C21" w:rsidRDefault="002E0935" w:rsidP="000C0C21">
      <w:pPr>
        <w:ind w:right="-142" w:firstLine="426"/>
        <w:jc w:val="both"/>
        <w:rPr>
          <w:rFonts w:ascii="Times New Roman" w:hAnsi="Times New Roman"/>
        </w:rPr>
      </w:pPr>
      <w:r w:rsidRPr="000C0C21">
        <w:rPr>
          <w:rFonts w:ascii="Times New Roman" w:hAnsi="Times New Roman"/>
        </w:rPr>
        <w:t>Извадка /</w:t>
      </w:r>
      <w:r w:rsidR="00683DFB" w:rsidRPr="000C0C21">
        <w:rPr>
          <w:rFonts w:ascii="Times New Roman" w:hAnsi="Times New Roman"/>
        </w:rPr>
        <w:t xml:space="preserve">всички </w:t>
      </w:r>
      <w:r w:rsidRPr="000C0C21">
        <w:rPr>
          <w:rFonts w:ascii="Times New Roman" w:hAnsi="Times New Roman"/>
        </w:rPr>
        <w:t xml:space="preserve">членове в раздели III, IV, V, VI и раздел XIV/ от Условия за изпълнение към административни договори за предоставяне на безвъзмездна финансова помощ </w:t>
      </w:r>
      <w:r w:rsidR="00683DFB" w:rsidRPr="000C0C21">
        <w:rPr>
          <w:rFonts w:ascii="Times New Roman" w:hAnsi="Times New Roman"/>
        </w:rPr>
        <w:t xml:space="preserve">чрез опростен вариант на разходите </w:t>
      </w:r>
      <w:r w:rsidRPr="000C0C21">
        <w:rPr>
          <w:rFonts w:ascii="Times New Roman" w:hAnsi="Times New Roman"/>
        </w:rPr>
        <w:t>по програма „Конкурентоспособност и иновации в предприятията” 2021-2027</w:t>
      </w:r>
    </w:p>
    <w:p w14:paraId="23150FBE" w14:textId="77777777" w:rsidR="002E0935" w:rsidRPr="000C0C21" w:rsidRDefault="002E0935" w:rsidP="000C0C21">
      <w:pPr>
        <w:ind w:right="-142" w:firstLine="426"/>
        <w:jc w:val="both"/>
        <w:rPr>
          <w:rFonts w:ascii="Times New Roman" w:hAnsi="Times New Roman"/>
        </w:rPr>
      </w:pPr>
    </w:p>
    <w:p w14:paraId="7A09B779" w14:textId="65B576A9" w:rsidR="002E0935" w:rsidRPr="000C0C21" w:rsidRDefault="00683DFB" w:rsidP="000C0C21">
      <w:pPr>
        <w:ind w:right="-142" w:firstLine="426"/>
        <w:jc w:val="both"/>
        <w:rPr>
          <w:rFonts w:ascii="Times New Roman" w:hAnsi="Times New Roman"/>
          <w:b/>
          <w:bCs/>
          <w:i/>
          <w:iCs/>
        </w:rPr>
      </w:pPr>
      <w:r w:rsidRPr="000C0C21">
        <w:rPr>
          <w:rFonts w:ascii="Times New Roman" w:hAnsi="Times New Roman"/>
          <w:b/>
          <w:bCs/>
          <w:i/>
          <w:iCs/>
        </w:rPr>
        <w:t>„</w:t>
      </w:r>
      <w:r w:rsidR="002E0935" w:rsidRPr="000C0C21">
        <w:rPr>
          <w:rFonts w:ascii="Times New Roman" w:hAnsi="Times New Roman"/>
          <w:b/>
          <w:bCs/>
          <w:i/>
          <w:iCs/>
        </w:rPr>
        <w:t>III. Отговорност</w:t>
      </w:r>
    </w:p>
    <w:p w14:paraId="0D0D150B" w14:textId="77777777" w:rsidR="00104B90" w:rsidRPr="000C0C21" w:rsidRDefault="00104B90" w:rsidP="000C0C21">
      <w:pPr>
        <w:ind w:right="-142" w:firstLine="426"/>
        <w:jc w:val="both"/>
        <w:rPr>
          <w:rFonts w:ascii="Times New Roman" w:hAnsi="Times New Roman"/>
          <w:b/>
          <w:bCs/>
          <w:i/>
          <w:iCs/>
        </w:rPr>
      </w:pPr>
    </w:p>
    <w:p w14:paraId="5272E00B"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 xml:space="preserve">Чл. 23. Управляващият орган не носи отговорност за вреди, нанесени на служителите и/или имуществото на Бенефициента по време на изпълнение на проекта или като последица от него. </w:t>
      </w:r>
    </w:p>
    <w:p w14:paraId="1C09F87D" w14:textId="77777777" w:rsidR="00683DFB" w:rsidRPr="000C0C21" w:rsidRDefault="00683DFB" w:rsidP="000C0C21">
      <w:pPr>
        <w:ind w:right="-142" w:firstLine="426"/>
        <w:jc w:val="both"/>
        <w:rPr>
          <w:rFonts w:ascii="Times New Roman" w:hAnsi="Times New Roman"/>
          <w:i/>
          <w:iCs/>
        </w:rPr>
      </w:pPr>
    </w:p>
    <w:p w14:paraId="458E9BDE" w14:textId="5AFAAF88"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Чл. 24. 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наети от него лица, или в резултат на нарушение на правата на трето лице.</w:t>
      </w:r>
    </w:p>
    <w:p w14:paraId="0AFE5FEE" w14:textId="77777777" w:rsidR="00683DFB" w:rsidRPr="000C0C21" w:rsidRDefault="00683DFB" w:rsidP="000C0C21">
      <w:pPr>
        <w:ind w:right="-142" w:firstLine="426"/>
        <w:jc w:val="both"/>
        <w:rPr>
          <w:rFonts w:ascii="Times New Roman" w:hAnsi="Times New Roman"/>
          <w:i/>
          <w:iCs/>
        </w:rPr>
      </w:pPr>
    </w:p>
    <w:p w14:paraId="5BB2DD7D"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Чл. 25. 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и Закона за биологичното разнообразие, при изпълнение на проекта Бенефициентът носи отговорността за съблюдаването на следните условия:</w:t>
      </w:r>
    </w:p>
    <w:p w14:paraId="77E7EECE"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a) Проекти, попадащи в обхвата на приложенията от Закона за опазване на околната среда (ЗООС) или извън тях и попадащи под разпоредбите на чл. 31 от Закона за биологичното разнообразие (ЗБР) следва да преминат оценка на въздействието върху околната среда и за съвместимостта им с предмета и целите за опазване на защитените зони, както и да изпълнят препоръките, ако такива са предписани, при извършването на такива оценки.</w:t>
      </w:r>
    </w:p>
    <w:p w14:paraId="17C15258"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б) При проекти, които ще се изпълняват в близост и в територии, подлежащи на здравна защита по смисъла на § 1, т. 3 от Наредбата за условията и реда за извършване на оценка на въздействието върху околната среда, Бенефициентите следва да предвидят необходимите мерки и да осигурят спазването им, при съблюдаване на всички законови изисквания за недопускане отделянето на наднормени вредности в жизнената среда.</w:t>
      </w:r>
    </w:p>
    <w:p w14:paraId="7957701C" w14:textId="79558885" w:rsidR="002E0935" w:rsidRPr="000C0C21" w:rsidRDefault="00683DFB" w:rsidP="000C0C21">
      <w:pPr>
        <w:ind w:right="-142" w:firstLine="426"/>
        <w:jc w:val="both"/>
        <w:rPr>
          <w:rFonts w:ascii="Times New Roman" w:hAnsi="Times New Roman"/>
          <w:i/>
          <w:iCs/>
        </w:rPr>
      </w:pPr>
      <w:r w:rsidRPr="000C0C21">
        <w:rPr>
          <w:rFonts w:ascii="Times New Roman" w:hAnsi="Times New Roman"/>
          <w:i/>
          <w:iCs/>
        </w:rPr>
        <w:t xml:space="preserve">в) Бенефициентът следва да осигури съобразяване на проекта 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w:t>
      </w:r>
      <w:r w:rsidRPr="000C0C21">
        <w:rPr>
          <w:rFonts w:ascii="Times New Roman" w:hAnsi="Times New Roman"/>
          <w:i/>
          <w:iCs/>
        </w:rPr>
        <w:lastRenderedPageBreak/>
        <w:t>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14:paraId="3912540D" w14:textId="77777777" w:rsidR="00683DFB" w:rsidRPr="000C0C21" w:rsidRDefault="00683DFB" w:rsidP="000C0C21">
      <w:pPr>
        <w:ind w:right="-142" w:firstLine="426"/>
        <w:jc w:val="both"/>
        <w:rPr>
          <w:rFonts w:ascii="Times New Roman" w:hAnsi="Times New Roman"/>
          <w:i/>
          <w:iCs/>
        </w:rPr>
      </w:pPr>
    </w:p>
    <w:p w14:paraId="4B0B2ACD" w14:textId="77777777" w:rsidR="00683DFB" w:rsidRPr="000C0C21" w:rsidRDefault="00683DFB" w:rsidP="000C0C21">
      <w:pPr>
        <w:ind w:right="-142" w:firstLine="426"/>
        <w:jc w:val="both"/>
        <w:rPr>
          <w:rFonts w:ascii="Times New Roman" w:hAnsi="Times New Roman"/>
          <w:i/>
          <w:iCs/>
        </w:rPr>
      </w:pPr>
    </w:p>
    <w:p w14:paraId="2A74D38A" w14:textId="77777777" w:rsidR="002E0935" w:rsidRPr="000C0C21" w:rsidRDefault="002E0935" w:rsidP="000C0C21">
      <w:pPr>
        <w:ind w:right="-142" w:firstLine="426"/>
        <w:jc w:val="both"/>
        <w:rPr>
          <w:rFonts w:ascii="Times New Roman" w:hAnsi="Times New Roman"/>
          <w:b/>
          <w:bCs/>
          <w:i/>
          <w:iCs/>
        </w:rPr>
      </w:pPr>
      <w:r w:rsidRPr="000C0C21">
        <w:rPr>
          <w:rFonts w:ascii="Times New Roman" w:hAnsi="Times New Roman"/>
          <w:b/>
          <w:bCs/>
          <w:i/>
          <w:iCs/>
        </w:rPr>
        <w:t>IV. Конфликт на интереси и нередности</w:t>
      </w:r>
    </w:p>
    <w:p w14:paraId="23F2BE63" w14:textId="77777777" w:rsidR="00104B90" w:rsidRPr="000C0C21" w:rsidRDefault="00104B90" w:rsidP="000C0C21">
      <w:pPr>
        <w:ind w:right="-142" w:firstLine="426"/>
        <w:jc w:val="both"/>
        <w:rPr>
          <w:rFonts w:ascii="Times New Roman" w:hAnsi="Times New Roman"/>
          <w:b/>
          <w:bCs/>
          <w:i/>
          <w:iCs/>
        </w:rPr>
      </w:pPr>
    </w:p>
    <w:p w14:paraId="10F3F454"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Чл. 26. Бенефициентът се задължава да не предприема действия, които могат да поставят собствените му интереси в конфликт с тези на Съюза по смисъла на чл. 61 от Регламент (ЕС) 2024/2509. Бенефициентът се задължава да взема подходящи мерки за предотвратяване на конфликт на интереси и за справяне със ситуации, които обективно могат да бъдат възприети като конфликт на интереси. В случай на възникнал такъв риск бенефициентът незабавно уведомява Управляващия орган. При изпълнение на Административния договор за предоставяне на безвъзмездна финансова помощ, бенефициентът няма право да сключва и изпълнява договори, ако по този начин е налице конфликт на интереси.</w:t>
      </w:r>
    </w:p>
    <w:p w14:paraId="79F10597" w14:textId="77777777" w:rsidR="00683DFB" w:rsidRPr="000C0C21" w:rsidRDefault="00683DFB" w:rsidP="000C0C21">
      <w:pPr>
        <w:ind w:right="-142" w:firstLine="426"/>
        <w:jc w:val="both"/>
        <w:rPr>
          <w:rFonts w:ascii="Times New Roman" w:hAnsi="Times New Roman"/>
          <w:i/>
          <w:iCs/>
        </w:rPr>
      </w:pPr>
    </w:p>
    <w:p w14:paraId="2E707236"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Чл. 27. Конфликт на интереси е налице, когато безпристрастното и обективно упражняване на функциите по Административния договор,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 Евратом) 2024/2509 на Европейския парламент и на Съвета от 23 септември 2024 година за финансовите правила, приложими за общия бюджет на Съюза (Финансовия регламент), както и по смисъла на Закона за противодействие на корупцията.</w:t>
      </w:r>
    </w:p>
    <w:p w14:paraId="2ADA3AF0" w14:textId="77777777" w:rsidR="00683DFB" w:rsidRPr="000C0C21" w:rsidRDefault="00683DFB" w:rsidP="000C0C21">
      <w:pPr>
        <w:ind w:right="-142" w:firstLine="426"/>
        <w:jc w:val="both"/>
        <w:rPr>
          <w:rFonts w:ascii="Times New Roman" w:hAnsi="Times New Roman"/>
          <w:i/>
          <w:iCs/>
        </w:rPr>
      </w:pPr>
    </w:p>
    <w:p w14:paraId="1113E14E"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Чл. 28. (1) При подаден сигнал за нередност, проверката по него се извършва по реда, определен с нормативния акт по чл. 69, ал. 6 от ЗУСЕФСУ. Понятието за нередност е дефинирано в чл. 2, пар. 31 от Регламент (ЕС) № 2021/1060 и бенефициентът е запознат с него, съгласно подписаната от същия Декларация при кандидатстване – Приложение към Условията за кандидатстване.</w:t>
      </w:r>
    </w:p>
    <w:p w14:paraId="42B73831"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(2) Бенефициентът може да подава сигнал за нередност при условията и по реда на разпоредбите на ЗУСЕФСУ.</w:t>
      </w:r>
    </w:p>
    <w:p w14:paraId="09F374E3" w14:textId="77777777" w:rsidR="00683DFB" w:rsidRPr="000C0C21" w:rsidRDefault="00683DFB" w:rsidP="000C0C21">
      <w:pPr>
        <w:ind w:right="-142" w:firstLine="426"/>
        <w:jc w:val="both"/>
        <w:rPr>
          <w:rFonts w:ascii="Times New Roman" w:hAnsi="Times New Roman"/>
          <w:i/>
          <w:iCs/>
        </w:rPr>
      </w:pPr>
    </w:p>
    <w:p w14:paraId="55EA1AC1" w14:textId="5BD7EE12" w:rsidR="005B4D2D" w:rsidRPr="000C0C21" w:rsidRDefault="00683DFB" w:rsidP="000C0C21">
      <w:pPr>
        <w:ind w:right="-142" w:firstLine="426"/>
        <w:jc w:val="both"/>
        <w:rPr>
          <w:rFonts w:ascii="Times New Roman" w:hAnsi="Times New Roman"/>
          <w:i/>
          <w:iCs/>
        </w:rPr>
      </w:pPr>
      <w:r w:rsidRPr="000C0C21">
        <w:rPr>
          <w:rFonts w:ascii="Times New Roman" w:hAnsi="Times New Roman"/>
          <w:i/>
          <w:iCs/>
        </w:rPr>
        <w:t>Чл. 29. Бенефициентът се задължава да осигури спазване на всички изисквания, посочени в настоящия раздел. При установяване на нарушения на тези задължения, Управляващият орган ще извърши финансова корекция на основание чл. 70, ал. 1, т. 1 от ЗУСЕФСУ и/или може да прекрати едностранно сключения Административен договор за предоставяне на безвъзмездна помощ и да поиска възстановяване на средствата по договора.</w:t>
      </w:r>
    </w:p>
    <w:p w14:paraId="5C1043A3" w14:textId="77777777" w:rsidR="00683DFB" w:rsidRPr="000C0C21" w:rsidRDefault="00683DFB" w:rsidP="000C0C21">
      <w:pPr>
        <w:ind w:right="-142" w:firstLine="426"/>
        <w:jc w:val="both"/>
        <w:rPr>
          <w:rFonts w:ascii="Times New Roman" w:hAnsi="Times New Roman"/>
          <w:i/>
          <w:iCs/>
        </w:rPr>
      </w:pPr>
    </w:p>
    <w:p w14:paraId="11113B54" w14:textId="77777777" w:rsidR="002E0935" w:rsidRPr="000C0C21" w:rsidRDefault="002E0935" w:rsidP="000C0C21">
      <w:pPr>
        <w:ind w:right="-142" w:firstLine="426"/>
        <w:jc w:val="both"/>
        <w:rPr>
          <w:rFonts w:ascii="Times New Roman" w:hAnsi="Times New Roman"/>
          <w:b/>
          <w:bCs/>
          <w:i/>
          <w:iCs/>
        </w:rPr>
      </w:pPr>
      <w:r w:rsidRPr="000C0C21">
        <w:rPr>
          <w:rFonts w:ascii="Times New Roman" w:hAnsi="Times New Roman"/>
          <w:b/>
          <w:bCs/>
          <w:i/>
          <w:iCs/>
        </w:rPr>
        <w:t>V. Поверителност</w:t>
      </w:r>
    </w:p>
    <w:p w14:paraId="41E93352" w14:textId="77777777" w:rsidR="00104B90" w:rsidRPr="000C0C21" w:rsidRDefault="00104B90" w:rsidP="000C0C21">
      <w:pPr>
        <w:ind w:right="-142" w:firstLine="426"/>
        <w:jc w:val="both"/>
        <w:rPr>
          <w:rFonts w:ascii="Times New Roman" w:hAnsi="Times New Roman"/>
          <w:b/>
          <w:bCs/>
          <w:i/>
          <w:iCs/>
        </w:rPr>
      </w:pPr>
    </w:p>
    <w:p w14:paraId="46716EDD"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 xml:space="preserve">Чл. 30. При спазване на разпоредбите на раздел XIV и раздел XV от настоящите Условия за изпълнение, Управляващият орган, лицата, упълномощени от него, Счетоводният орган и </w:t>
      </w:r>
      <w:r w:rsidRPr="000C0C21">
        <w:rPr>
          <w:rFonts w:ascii="Times New Roman" w:hAnsi="Times New Roman"/>
          <w:i/>
          <w:iCs/>
        </w:rPr>
        <w:lastRenderedPageBreak/>
        <w:t>Бенефициентът се задължават да запазят поверителността на всички предоставени документи, информация или други материали, за периода по чл. 82 от Регламент (ЕС) 2021/1060. 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14:paraId="08B6DC72" w14:textId="77777777" w:rsidR="00683DFB" w:rsidRPr="000C0C21" w:rsidRDefault="00683DFB" w:rsidP="000C0C21">
      <w:pPr>
        <w:ind w:right="-142" w:firstLine="426"/>
        <w:jc w:val="both"/>
        <w:rPr>
          <w:rFonts w:ascii="Times New Roman" w:hAnsi="Times New Roman"/>
          <w:i/>
          <w:iCs/>
        </w:rPr>
      </w:pPr>
    </w:p>
    <w:p w14:paraId="41C00C7E" w14:textId="7B574FBC" w:rsidR="005B4D2D" w:rsidRPr="000C0C21" w:rsidRDefault="00683DFB" w:rsidP="000C0C21">
      <w:pPr>
        <w:ind w:right="-142" w:firstLine="426"/>
        <w:jc w:val="both"/>
        <w:rPr>
          <w:rFonts w:ascii="Times New Roman" w:hAnsi="Times New Roman"/>
          <w:i/>
          <w:iCs/>
        </w:rPr>
      </w:pPr>
      <w:r w:rsidRPr="000C0C21">
        <w:rPr>
          <w:rFonts w:ascii="Times New Roman" w:hAnsi="Times New Roman"/>
          <w:i/>
          <w:iCs/>
        </w:rPr>
        <w:t>Чл. 31. При реализиране на своите правомощия Управляващият орган, упълномощените от него лица, Счетоводният орган, Бенефициентът и Европейската комисия спазват изискванията за защита на личните данни в съответствие с Регламент (ЕС) 2021/1060, Регламент (ЕС) 2016/679 и Регламент (ЕС) 2018/1725 на Европейския парламент и на Съвета.</w:t>
      </w:r>
    </w:p>
    <w:p w14:paraId="25CEF260" w14:textId="77777777" w:rsidR="00683DFB" w:rsidRPr="000C0C21" w:rsidRDefault="00683DFB" w:rsidP="000C0C21">
      <w:pPr>
        <w:ind w:right="-142" w:firstLine="426"/>
        <w:jc w:val="both"/>
        <w:rPr>
          <w:rFonts w:ascii="Times New Roman" w:hAnsi="Times New Roman"/>
          <w:i/>
          <w:iCs/>
        </w:rPr>
      </w:pPr>
    </w:p>
    <w:p w14:paraId="7FAC0481" w14:textId="77777777" w:rsidR="002E0935" w:rsidRPr="000C0C21" w:rsidRDefault="002E0935" w:rsidP="000C0C21">
      <w:pPr>
        <w:ind w:right="-142" w:firstLine="426"/>
        <w:jc w:val="both"/>
        <w:rPr>
          <w:rFonts w:ascii="Times New Roman" w:hAnsi="Times New Roman"/>
          <w:b/>
          <w:bCs/>
          <w:i/>
          <w:iCs/>
        </w:rPr>
      </w:pPr>
      <w:r w:rsidRPr="000C0C21">
        <w:rPr>
          <w:rFonts w:ascii="Times New Roman" w:hAnsi="Times New Roman"/>
          <w:b/>
          <w:bCs/>
          <w:i/>
          <w:iCs/>
        </w:rPr>
        <w:t>VI. Комуникация и видимост</w:t>
      </w:r>
    </w:p>
    <w:p w14:paraId="234D55C9" w14:textId="77777777" w:rsidR="00104B90" w:rsidRPr="000C0C21" w:rsidRDefault="00104B90" w:rsidP="000C0C21">
      <w:pPr>
        <w:ind w:right="-142" w:firstLine="426"/>
        <w:jc w:val="both"/>
        <w:rPr>
          <w:rFonts w:ascii="Times New Roman" w:hAnsi="Times New Roman"/>
          <w:b/>
          <w:bCs/>
          <w:i/>
          <w:iCs/>
        </w:rPr>
      </w:pPr>
    </w:p>
    <w:p w14:paraId="30FFDE2C"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Чл. 32. По време на изпълнението на проекта и след приключването му, Бенефициентът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 чрез ПКИП. Предприетите за тази цел мерки трябва да са в съответствие с приложимите правила за информация и комуникация, предвидени в Приложение IX „Комуникация и видимост - членове 47, 49 и 50” от Регламент (ЕС) 2021/1060.</w:t>
      </w:r>
    </w:p>
    <w:p w14:paraId="62FAFD99"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Неспазването на правилата за комуникация и видимост може да доведе до непризнаване на част или на цялата стойност на извършените по проекта разходи.</w:t>
      </w:r>
    </w:p>
    <w:p w14:paraId="51DFB896" w14:textId="77777777" w:rsidR="00683DFB" w:rsidRPr="000C0C21" w:rsidRDefault="00683DFB" w:rsidP="000C0C21">
      <w:pPr>
        <w:ind w:right="-142" w:firstLine="426"/>
        <w:jc w:val="both"/>
        <w:rPr>
          <w:rFonts w:ascii="Times New Roman" w:hAnsi="Times New Roman"/>
          <w:i/>
          <w:iCs/>
        </w:rPr>
      </w:pPr>
    </w:p>
    <w:p w14:paraId="0EB942D0"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Чл. 33. При всички мерки за комуникация и видимост, предприемани от Бенефициента, се предоставя информация за подкрепата чрез поставяне на минимум един плакат с информация за проекта (поне размер А3) или еквивалентен електронен екран с информация за проекта, в който се споменава финансовата подкрепа от ЕС, на видно за обществеността място при спазване на изискванията на Регламент (ЕС) 2021/1060.</w:t>
      </w:r>
    </w:p>
    <w:p w14:paraId="7444E3C0" w14:textId="77777777" w:rsidR="00683DFB" w:rsidRPr="000C0C21" w:rsidRDefault="00683DFB" w:rsidP="000C0C21">
      <w:pPr>
        <w:ind w:right="-142" w:firstLine="426"/>
        <w:jc w:val="both"/>
        <w:rPr>
          <w:rFonts w:ascii="Times New Roman" w:hAnsi="Times New Roman"/>
          <w:i/>
          <w:iCs/>
        </w:rPr>
      </w:pPr>
    </w:p>
    <w:p w14:paraId="11E233D0"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Чл. 34. Бенефициентът включва информацията по чл. 33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14:paraId="2DEA7E2B"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ab/>
        <w:t xml:space="preserve">Всеки документ на Бенефициента в горните случаи трябва да съдържа следното изявление: </w:t>
      </w:r>
    </w:p>
    <w:p w14:paraId="17F6F5AA"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„Този документ е създаден с финансовата подкрепа на програма „Конкурентоспособност  и иновации в предприятията“ 2021-2027 г., съфинансирана от Европейския съюз чрез Европейския фонд за регионално развитие. Цялата отговорност за съдържанието на документа се носи от &lt; наименование на Бенефициента &gt; и при никакви обстоятелства не може да се приема, че този документ отразява официалното становище на Европейския съюз и Управляващия орган”.</w:t>
      </w:r>
    </w:p>
    <w:p w14:paraId="783B3D84" w14:textId="77777777" w:rsidR="00683DFB" w:rsidRPr="000C0C21" w:rsidRDefault="00683DFB" w:rsidP="000C0C21">
      <w:pPr>
        <w:ind w:right="-142" w:firstLine="426"/>
        <w:jc w:val="both"/>
        <w:rPr>
          <w:rFonts w:ascii="Times New Roman" w:hAnsi="Times New Roman"/>
          <w:i/>
          <w:iCs/>
        </w:rPr>
      </w:pPr>
    </w:p>
    <w:p w14:paraId="13B3EB17"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lastRenderedPageBreak/>
        <w:t>Чл. 35. По време на изпълнението на проекта Бенефициентът информира обществеността за получената подкрепа, като включва на своя уебсайт, когато такъв съществува, и на сайтове в социални медии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784E87D3" w14:textId="77777777" w:rsidR="00683DFB" w:rsidRPr="000C0C21" w:rsidRDefault="00683DFB" w:rsidP="000C0C21">
      <w:pPr>
        <w:ind w:right="-142" w:firstLine="426"/>
        <w:jc w:val="both"/>
        <w:rPr>
          <w:rFonts w:ascii="Times New Roman" w:hAnsi="Times New Roman"/>
          <w:i/>
          <w:iCs/>
        </w:rPr>
      </w:pPr>
    </w:p>
    <w:p w14:paraId="573E9EA4" w14:textId="77BDABE0" w:rsidR="005B4D2D" w:rsidRPr="000C0C21" w:rsidRDefault="00683DFB" w:rsidP="000C0C21">
      <w:pPr>
        <w:ind w:right="-142" w:firstLine="426"/>
        <w:jc w:val="both"/>
        <w:rPr>
          <w:rFonts w:ascii="Times New Roman" w:hAnsi="Times New Roman"/>
          <w:i/>
          <w:iCs/>
        </w:rPr>
      </w:pPr>
      <w:r w:rsidRPr="000C0C21">
        <w:rPr>
          <w:rFonts w:ascii="Times New Roman" w:hAnsi="Times New Roman"/>
          <w:i/>
          <w:iCs/>
        </w:rPr>
        <w:t>Чл. 36. Бенефициентът се съгласява Управляващият орган,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Административния договор.</w:t>
      </w:r>
    </w:p>
    <w:p w14:paraId="02FD83B1" w14:textId="77777777" w:rsidR="00683DFB" w:rsidRPr="000C0C21" w:rsidRDefault="00683DFB" w:rsidP="000C0C21">
      <w:pPr>
        <w:ind w:right="-142" w:firstLine="426"/>
        <w:jc w:val="both"/>
        <w:rPr>
          <w:rFonts w:ascii="Times New Roman" w:hAnsi="Times New Roman"/>
          <w:i/>
          <w:iCs/>
        </w:rPr>
      </w:pPr>
    </w:p>
    <w:p w14:paraId="1858E45B" w14:textId="77777777" w:rsidR="002E0935" w:rsidRPr="000C0C21" w:rsidRDefault="002E0935" w:rsidP="000C0C21">
      <w:pPr>
        <w:ind w:right="-142" w:firstLine="426"/>
        <w:jc w:val="both"/>
        <w:rPr>
          <w:rFonts w:ascii="Times New Roman" w:hAnsi="Times New Roman"/>
          <w:b/>
          <w:bCs/>
          <w:i/>
          <w:iCs/>
        </w:rPr>
      </w:pPr>
      <w:r w:rsidRPr="000C0C21">
        <w:rPr>
          <w:rFonts w:ascii="Times New Roman" w:hAnsi="Times New Roman"/>
          <w:b/>
          <w:bCs/>
          <w:i/>
          <w:iCs/>
        </w:rPr>
        <w:t>XIV. Счетоводна отчетност</w:t>
      </w:r>
    </w:p>
    <w:p w14:paraId="1499E407" w14:textId="77777777" w:rsidR="00104B90" w:rsidRPr="000C0C21" w:rsidRDefault="00104B90" w:rsidP="000C0C21">
      <w:pPr>
        <w:ind w:right="-142" w:firstLine="426"/>
        <w:jc w:val="both"/>
        <w:rPr>
          <w:rFonts w:ascii="Times New Roman" w:hAnsi="Times New Roman"/>
          <w:b/>
          <w:bCs/>
          <w:i/>
          <w:iCs/>
        </w:rPr>
      </w:pPr>
    </w:p>
    <w:p w14:paraId="728946D2"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Чл. 66. Счетоводната документация, отразяваща изпълнението на проекта, следва да е в съответствие с изискванията на чл. 57, ал. 1, т. 6 от ЗУСЕФСУ. Документите трябва да се съхраняват на достъпно място и да са картотекирани.</w:t>
      </w:r>
    </w:p>
    <w:p w14:paraId="176EC9DF" w14:textId="77777777" w:rsidR="00683DFB" w:rsidRPr="000C0C21" w:rsidRDefault="00683DFB" w:rsidP="000C0C21">
      <w:pPr>
        <w:ind w:right="-142" w:firstLine="426"/>
        <w:jc w:val="both"/>
        <w:rPr>
          <w:rFonts w:ascii="Times New Roman" w:hAnsi="Times New Roman"/>
          <w:i/>
          <w:iCs/>
        </w:rPr>
      </w:pPr>
    </w:p>
    <w:p w14:paraId="104332ED" w14:textId="77777777" w:rsidR="00683DFB" w:rsidRPr="000C0C21" w:rsidRDefault="00683DFB" w:rsidP="000C0C21">
      <w:pPr>
        <w:ind w:right="-142" w:firstLine="426"/>
        <w:jc w:val="both"/>
        <w:rPr>
          <w:rFonts w:ascii="Times New Roman" w:hAnsi="Times New Roman"/>
          <w:i/>
          <w:iCs/>
        </w:rPr>
      </w:pPr>
      <w:r w:rsidRPr="000C0C21">
        <w:rPr>
          <w:rFonts w:ascii="Times New Roman" w:hAnsi="Times New Roman"/>
          <w:i/>
          <w:iCs/>
        </w:rPr>
        <w:t>Чл. 67. Когато Бенефициентът упражнява едновременно дейности в недопустимите сектори по Регламент (ЕС) № 2023/2831 на Комисията, Регламент (ЕС) № 2021/1060 на Европейския парламент и на Съвета или по Регламент (ЕС) № 2021/1058 на Европейския парламент и на Съвета от 24 юни 2021 година относно Европейския фонд за регионално развитие и относно Кохезионния фонд, и в допустимите сектори, посочени в Условията за кандидатстване по настоящата процедура, безвъзмездната помощ се предоставя само за дейностите в допустимите сектори, като Бенефициентът следва да води отделна счетоводна отчетност по отношение на разходите по проекта, която да гарантира отделяне на дейностите и разграничаване на разходите, така че дейностите в недопустимите сектори да не се ползват от безвъзмездната помощ, предоставена по настоящата процедура. Неизпълнение на посоченото ще доведе до възстановяване на помощта по реда на чл. 13 от АДПБФП.</w:t>
      </w:r>
    </w:p>
    <w:p w14:paraId="7D056970" w14:textId="77777777" w:rsidR="00683DFB" w:rsidRPr="000C0C21" w:rsidRDefault="00683DFB" w:rsidP="000C0C21">
      <w:pPr>
        <w:ind w:right="-142" w:firstLine="426"/>
        <w:jc w:val="both"/>
        <w:rPr>
          <w:rFonts w:ascii="Times New Roman" w:hAnsi="Times New Roman"/>
          <w:i/>
          <w:iCs/>
        </w:rPr>
      </w:pPr>
    </w:p>
    <w:p w14:paraId="040DA221" w14:textId="14203D98" w:rsidR="00B65BB4" w:rsidRPr="000C0C21" w:rsidRDefault="00683DFB" w:rsidP="000C0C21">
      <w:pPr>
        <w:ind w:right="-142" w:firstLine="426"/>
        <w:jc w:val="both"/>
        <w:rPr>
          <w:rFonts w:ascii="Times New Roman" w:hAnsi="Times New Roman"/>
          <w:i/>
          <w:iCs/>
        </w:rPr>
      </w:pPr>
      <w:r w:rsidRPr="000C0C21">
        <w:rPr>
          <w:rFonts w:ascii="Times New Roman" w:hAnsi="Times New Roman"/>
          <w:i/>
          <w:iCs/>
        </w:rPr>
        <w:t>Чл. 68. 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w:t>
      </w:r>
    </w:p>
    <w:p w14:paraId="2B961270" w14:textId="77777777" w:rsidR="00B65BB4" w:rsidRPr="000C0C21" w:rsidRDefault="00B65BB4" w:rsidP="000C0C21">
      <w:pPr>
        <w:ind w:right="-142" w:firstLine="426"/>
        <w:jc w:val="both"/>
        <w:rPr>
          <w:rFonts w:ascii="Times New Roman" w:hAnsi="Times New Roman"/>
          <w:i/>
          <w:iCs/>
        </w:rPr>
      </w:pPr>
    </w:p>
    <w:p w14:paraId="2449FB59" w14:textId="77777777" w:rsidR="00104B90" w:rsidRPr="000C0C21" w:rsidRDefault="00104B90" w:rsidP="000C0C21">
      <w:pPr>
        <w:ind w:right="-142" w:firstLine="426"/>
        <w:jc w:val="both"/>
        <w:rPr>
          <w:rFonts w:ascii="Times New Roman" w:hAnsi="Times New Roman"/>
          <w:i/>
          <w:iCs/>
        </w:rPr>
      </w:pPr>
    </w:p>
    <w:p w14:paraId="5ECE32E1" w14:textId="77777777" w:rsidR="00280CBB" w:rsidRPr="000C0C21" w:rsidRDefault="00280CBB" w:rsidP="000C0C21">
      <w:pPr>
        <w:ind w:right="-142" w:firstLine="426"/>
        <w:jc w:val="both"/>
        <w:rPr>
          <w:rFonts w:ascii="Times New Roman" w:hAnsi="Times New Roman"/>
          <w:i/>
          <w:iCs/>
        </w:rPr>
      </w:pPr>
    </w:p>
    <w:p w14:paraId="2782C0F9" w14:textId="77777777" w:rsidR="002E0935" w:rsidRPr="000C0C21" w:rsidRDefault="002E0935" w:rsidP="000C0C21">
      <w:pPr>
        <w:ind w:right="-142" w:firstLine="426"/>
        <w:jc w:val="both"/>
        <w:rPr>
          <w:rFonts w:ascii="Times New Roman" w:hAnsi="Times New Roman"/>
        </w:rPr>
      </w:pPr>
      <w:r w:rsidRPr="000C0C21">
        <w:rPr>
          <w:rFonts w:ascii="Times New Roman" w:hAnsi="Times New Roman"/>
        </w:rPr>
        <w:t xml:space="preserve">ВЪЗЛОЖИТЕЛ: </w:t>
      </w:r>
      <w:r w:rsidRPr="000C0C21">
        <w:rPr>
          <w:rFonts w:ascii="Times New Roman" w:hAnsi="Times New Roman"/>
        </w:rPr>
        <w:tab/>
      </w:r>
      <w:r w:rsidRPr="000C0C21">
        <w:rPr>
          <w:rFonts w:ascii="Times New Roman" w:hAnsi="Times New Roman"/>
        </w:rPr>
        <w:tab/>
      </w:r>
      <w:r w:rsidRPr="000C0C21">
        <w:rPr>
          <w:rFonts w:ascii="Times New Roman" w:hAnsi="Times New Roman"/>
        </w:rPr>
        <w:tab/>
      </w:r>
      <w:r w:rsidRPr="000C0C21">
        <w:rPr>
          <w:rFonts w:ascii="Times New Roman" w:hAnsi="Times New Roman"/>
        </w:rPr>
        <w:tab/>
      </w:r>
      <w:r w:rsidRPr="000C0C21">
        <w:rPr>
          <w:rFonts w:ascii="Times New Roman" w:hAnsi="Times New Roman"/>
        </w:rPr>
        <w:tab/>
        <w:t>ИЗПЪЛНИТЕЛ:</w:t>
      </w:r>
    </w:p>
    <w:p w14:paraId="5E31E520" w14:textId="77777777" w:rsidR="002E0935" w:rsidRPr="000C0C21" w:rsidRDefault="002E0935" w:rsidP="000C0C21">
      <w:pPr>
        <w:ind w:right="-142" w:firstLine="426"/>
        <w:jc w:val="both"/>
        <w:rPr>
          <w:rFonts w:ascii="Times New Roman" w:hAnsi="Times New Roman"/>
        </w:rPr>
      </w:pPr>
      <w:r w:rsidRPr="000C0C21">
        <w:rPr>
          <w:rFonts w:ascii="Times New Roman" w:hAnsi="Times New Roman"/>
        </w:rPr>
        <w:t xml:space="preserve">…................................. </w:t>
      </w:r>
      <w:r w:rsidRPr="000C0C21">
        <w:rPr>
          <w:rFonts w:ascii="Times New Roman" w:hAnsi="Times New Roman"/>
        </w:rPr>
        <w:tab/>
      </w:r>
      <w:r w:rsidRPr="000C0C21">
        <w:rPr>
          <w:rFonts w:ascii="Times New Roman" w:hAnsi="Times New Roman"/>
        </w:rPr>
        <w:tab/>
      </w:r>
      <w:r w:rsidRPr="000C0C21">
        <w:rPr>
          <w:rFonts w:ascii="Times New Roman" w:hAnsi="Times New Roman"/>
        </w:rPr>
        <w:tab/>
      </w:r>
      <w:r w:rsidRPr="000C0C21">
        <w:rPr>
          <w:rFonts w:ascii="Times New Roman" w:hAnsi="Times New Roman"/>
        </w:rPr>
        <w:tab/>
        <w:t xml:space="preserve"> ................................</w:t>
      </w:r>
    </w:p>
    <w:sectPr w:rsidR="002E0935" w:rsidRPr="000C0C21" w:rsidSect="000C0C21">
      <w:headerReference w:type="even" r:id="rId8"/>
      <w:headerReference w:type="default" r:id="rId9"/>
      <w:footerReference w:type="even" r:id="rId10"/>
      <w:footerReference w:type="default" r:id="rId11"/>
      <w:headerReference w:type="first" r:id="rId12"/>
      <w:footerReference w:type="first" r:id="rId13"/>
      <w:pgSz w:w="11907" w:h="16840" w:code="9"/>
      <w:pgMar w:top="540" w:right="1134" w:bottom="567" w:left="1276" w:header="301" w:footer="58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170C2" w14:textId="77777777" w:rsidR="006E7E0A" w:rsidRDefault="006E7E0A">
      <w:r>
        <w:separator/>
      </w:r>
    </w:p>
  </w:endnote>
  <w:endnote w:type="continuationSeparator" w:id="0">
    <w:p w14:paraId="2C02DD38" w14:textId="77777777" w:rsidR="006E7E0A" w:rsidRDefault="006E7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barU">
    <w:altName w:val="Courier New"/>
    <w:charset w:val="00"/>
    <w:family w:val="auto"/>
    <w:pitch w:val="variable"/>
    <w:sig w:usb0="00000003"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5FCFA" w14:textId="77777777" w:rsidR="00CB37CB" w:rsidRDefault="00CB37CB"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86E9D8" w14:textId="77777777" w:rsidR="00CB37CB" w:rsidRDefault="00CB37CB" w:rsidP="00961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A556" w14:textId="49F5C59C" w:rsidR="008D5292" w:rsidRPr="000C0C21" w:rsidRDefault="008D5292">
    <w:pPr>
      <w:pStyle w:val="Footer"/>
      <w:jc w:val="center"/>
      <w:rPr>
        <w:caps/>
        <w:noProof/>
        <w:color w:val="5B9BD5" w:themeColor="accent1"/>
        <w:lang w:val="en-US"/>
      </w:rPr>
    </w:pPr>
  </w:p>
  <w:p w14:paraId="2BC8B814" w14:textId="77777777" w:rsidR="008D5292" w:rsidRPr="00305552" w:rsidRDefault="008D5292" w:rsidP="008D5292">
    <w:pPr>
      <w:pStyle w:val="Footer"/>
      <w:ind w:right="283"/>
      <w:jc w:val="center"/>
      <w:rPr>
        <w:rFonts w:ascii="Times New Roman" w:hAnsi="Times New Roman"/>
        <w:i/>
        <w:iCs/>
        <w:sz w:val="20"/>
      </w:rPr>
    </w:pPr>
    <w:bookmarkStart w:id="0" w:name="_Hlk226126822"/>
    <w:r w:rsidRPr="00305552">
      <w:rPr>
        <w:rFonts w:ascii="Times New Roman" w:hAnsi="Times New Roman"/>
        <w:i/>
        <w:iCs/>
        <w:sz w:val="20"/>
      </w:rPr>
      <w:t xml:space="preserve">Този документ е създаден с финансовата подкрепа на програма „Конкурентоспособност  и иновации в предприятията“ 2021-2027 г., съфинансирана от Европейския съюз чрез Европейския фонд за регионално развитие. Цялата отговорност за съдържанието на документа се носи от </w:t>
    </w:r>
    <w:r w:rsidRPr="001316D8">
      <w:rPr>
        <w:rFonts w:ascii="Times New Roman" w:hAnsi="Times New Roman"/>
        <w:i/>
        <w:iCs/>
        <w:sz w:val="20"/>
      </w:rPr>
      <w:t xml:space="preserve">Би Джи Ар Груп ООД </w:t>
    </w:r>
    <w:r w:rsidRPr="00305552">
      <w:rPr>
        <w:rFonts w:ascii="Times New Roman" w:hAnsi="Times New Roman"/>
        <w:i/>
        <w:iCs/>
        <w:sz w:val="20"/>
      </w:rPr>
      <w:t>и при никакви обстоятелства не може да се приема, че този документ отразява официалното становище на Европейския съюз и Управляващия орган”.</w:t>
    </w:r>
  </w:p>
  <w:bookmarkEnd w:id="0"/>
  <w:p w14:paraId="72F5B696" w14:textId="77777777" w:rsidR="00CB37CB" w:rsidRDefault="00CB37CB" w:rsidP="00CA02D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3268778"/>
      <w:docPartObj>
        <w:docPartGallery w:val="Page Numbers (Bottom of Page)"/>
        <w:docPartUnique/>
      </w:docPartObj>
    </w:sdtPr>
    <w:sdtEndPr>
      <w:rPr>
        <w:noProof/>
      </w:rPr>
    </w:sdtEndPr>
    <w:sdtContent>
      <w:p w14:paraId="537FCD19" w14:textId="60BD486F" w:rsidR="00B65BB4" w:rsidRDefault="00B65BB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34A3BA1" w14:textId="77777777" w:rsidR="008D5292" w:rsidRDefault="008D52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D0D8B" w14:textId="77777777" w:rsidR="006E7E0A" w:rsidRDefault="006E7E0A">
      <w:r>
        <w:separator/>
      </w:r>
    </w:p>
  </w:footnote>
  <w:footnote w:type="continuationSeparator" w:id="0">
    <w:p w14:paraId="34B14844" w14:textId="77777777" w:rsidR="006E7E0A" w:rsidRDefault="006E7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81066" w14:textId="77777777" w:rsidR="00CB37CB" w:rsidRDefault="00CB37CB"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B4D2D">
      <w:rPr>
        <w:rStyle w:val="PageNumber"/>
        <w:noProof/>
      </w:rPr>
      <w:t>3</w:t>
    </w:r>
    <w:r>
      <w:rPr>
        <w:rStyle w:val="PageNumber"/>
      </w:rPr>
      <w:fldChar w:fldCharType="end"/>
    </w:r>
  </w:p>
  <w:p w14:paraId="51B9E9C0" w14:textId="77777777" w:rsidR="00CB37CB" w:rsidRDefault="00CB37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2A957" w14:textId="77777777" w:rsidR="00CB37CB" w:rsidRDefault="00CB37CB">
    <w:pPr>
      <w:pStyle w:val="Header"/>
      <w:rPr>
        <w:lang w:val="en-US"/>
      </w:rPr>
    </w:pPr>
  </w:p>
  <w:p w14:paraId="48571BC9" w14:textId="1A1378DC" w:rsidR="00CB37CB" w:rsidRPr="008D5292" w:rsidRDefault="008D5292">
    <w:pPr>
      <w:pStyle w:val="Header"/>
      <w:rPr>
        <w:lang w:val="bg-BG"/>
      </w:rPr>
    </w:pPr>
    <w:r>
      <w:rPr>
        <w:noProof/>
        <w:lang w:val="en-GB" w:eastAsia="en-GB"/>
      </w:rPr>
      <w:drawing>
        <wp:inline distT="0" distB="0" distL="0" distR="0" wp14:anchorId="6529CD61" wp14:editId="6AE02D17">
          <wp:extent cx="2295525" cy="476250"/>
          <wp:effectExtent l="0" t="0" r="0" b="0"/>
          <wp:docPr id="172934817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5525" cy="476250"/>
                  </a:xfrm>
                  <a:prstGeom prst="rect">
                    <a:avLst/>
                  </a:prstGeom>
                  <a:noFill/>
                  <a:ln>
                    <a:noFill/>
                  </a:ln>
                </pic:spPr>
              </pic:pic>
            </a:graphicData>
          </a:graphic>
        </wp:inline>
      </w:drawing>
    </w:r>
    <w:r>
      <w:rPr>
        <w:lang w:val="bg-BG"/>
      </w:rPr>
      <w:tab/>
      <w:t xml:space="preserve">                </w:t>
    </w:r>
    <w:r>
      <w:rPr>
        <w:noProof/>
        <w:lang w:val="bg-BG"/>
      </w:rPr>
      <w:drawing>
        <wp:inline distT="0" distB="0" distL="0" distR="0" wp14:anchorId="64392C81" wp14:editId="0D0565FC">
          <wp:extent cx="2304415" cy="640080"/>
          <wp:effectExtent l="0" t="0" r="635" b="7620"/>
          <wp:docPr id="3090052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4415" cy="640080"/>
                  </a:xfrm>
                  <a:prstGeom prst="rect">
                    <a:avLst/>
                  </a:prstGeom>
                  <a:noFill/>
                </pic:spPr>
              </pic:pic>
            </a:graphicData>
          </a:graphic>
        </wp:inline>
      </w:drawing>
    </w:r>
  </w:p>
  <w:p w14:paraId="50D1DC2A" w14:textId="77777777" w:rsidR="00CB37CB" w:rsidRPr="00D750ED" w:rsidRDefault="00CB37CB">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435"/>
      <w:gridCol w:w="222"/>
    </w:tblGrid>
    <w:tr w:rsidR="006A463D" w14:paraId="6C73AB23" w14:textId="77777777" w:rsidTr="001E4636">
      <w:tc>
        <w:tcPr>
          <w:tcW w:w="4531" w:type="dxa"/>
          <w:vAlign w:val="center"/>
        </w:tcPr>
        <w:tbl>
          <w:tblPr>
            <w:tblW w:w="10219" w:type="dxa"/>
            <w:tblLook w:val="04A0" w:firstRow="1" w:lastRow="0" w:firstColumn="1" w:lastColumn="0" w:noHBand="0" w:noVBand="1"/>
          </w:tblPr>
          <w:tblGrid>
            <w:gridCol w:w="4531"/>
            <w:gridCol w:w="5688"/>
          </w:tblGrid>
          <w:tr w:rsidR="008D21D3" w14:paraId="7FA5BA9F" w14:textId="77777777" w:rsidTr="008D21D3">
            <w:tc>
              <w:tcPr>
                <w:tcW w:w="4531" w:type="dxa"/>
                <w:vAlign w:val="center"/>
                <w:hideMark/>
              </w:tcPr>
              <w:p w14:paraId="2C6E5912" w14:textId="77777777" w:rsidR="008D21D3" w:rsidRPr="008D21D3" w:rsidRDefault="008B6479" w:rsidP="008D21D3">
                <w:pPr>
                  <w:widowControl w:val="0"/>
                  <w:spacing w:before="100" w:after="100"/>
                  <w:rPr>
                    <w:rFonts w:ascii="Calibri" w:hAnsi="Calibri"/>
                    <w:sz w:val="22"/>
                  </w:rPr>
                </w:pPr>
                <w:r>
                  <w:rPr>
                    <w:noProof/>
                    <w:lang w:val="en-GB" w:eastAsia="en-GB"/>
                  </w:rPr>
                  <w:drawing>
                    <wp:inline distT="0" distB="0" distL="0" distR="0" wp14:anchorId="565DEA90" wp14:editId="6BFC8355">
                      <wp:extent cx="2295525" cy="476250"/>
                      <wp:effectExtent l="0" t="0" r="0" b="0"/>
                      <wp:docPr id="319407294"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5525" cy="476250"/>
                              </a:xfrm>
                              <a:prstGeom prst="rect">
                                <a:avLst/>
                              </a:prstGeom>
                              <a:noFill/>
                              <a:ln>
                                <a:noFill/>
                              </a:ln>
                            </pic:spPr>
                          </pic:pic>
                        </a:graphicData>
                      </a:graphic>
                    </wp:inline>
                  </w:drawing>
                </w:r>
              </w:p>
            </w:tc>
            <w:tc>
              <w:tcPr>
                <w:tcW w:w="5688" w:type="dxa"/>
                <w:vAlign w:val="center"/>
                <w:hideMark/>
              </w:tcPr>
              <w:p w14:paraId="205BDFCF" w14:textId="77777777" w:rsidR="008D21D3" w:rsidRDefault="008B6479" w:rsidP="008D21D3">
                <w:pPr>
                  <w:widowControl w:val="0"/>
                  <w:spacing w:before="100" w:after="100"/>
                  <w:jc w:val="right"/>
                </w:pPr>
                <w:r>
                  <w:rPr>
                    <w:noProof/>
                    <w:lang w:val="en-GB" w:eastAsia="en-GB"/>
                  </w:rPr>
                  <w:drawing>
                    <wp:inline distT="0" distB="0" distL="0" distR="0" wp14:anchorId="514738BB" wp14:editId="34584AA8">
                      <wp:extent cx="2305050" cy="638175"/>
                      <wp:effectExtent l="0" t="0" r="0" b="0"/>
                      <wp:docPr id="1400920086"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5050" cy="638175"/>
                              </a:xfrm>
                              <a:prstGeom prst="rect">
                                <a:avLst/>
                              </a:prstGeom>
                              <a:noFill/>
                              <a:ln>
                                <a:noFill/>
                              </a:ln>
                            </pic:spPr>
                          </pic:pic>
                        </a:graphicData>
                      </a:graphic>
                    </wp:inline>
                  </w:drawing>
                </w:r>
              </w:p>
            </w:tc>
          </w:tr>
        </w:tbl>
        <w:p w14:paraId="13F56F55" w14:textId="77777777" w:rsidR="006A463D" w:rsidRDefault="006A463D" w:rsidP="006A463D">
          <w:pPr>
            <w:widowControl w:val="0"/>
            <w:spacing w:before="100" w:after="100"/>
          </w:pPr>
        </w:p>
      </w:tc>
      <w:tc>
        <w:tcPr>
          <w:tcW w:w="5688" w:type="dxa"/>
          <w:vAlign w:val="center"/>
        </w:tcPr>
        <w:p w14:paraId="49BCD63C" w14:textId="77777777" w:rsidR="006A463D" w:rsidRDefault="006A463D" w:rsidP="006A463D">
          <w:pPr>
            <w:widowControl w:val="0"/>
            <w:spacing w:before="100" w:after="100"/>
            <w:jc w:val="right"/>
          </w:pPr>
        </w:p>
      </w:tc>
    </w:tr>
  </w:tbl>
  <w:p w14:paraId="2C795AC6" w14:textId="77777777" w:rsidR="003711DF" w:rsidRPr="006A463D" w:rsidRDefault="003711DF" w:rsidP="006A46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1"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num w:numId="1" w16cid:durableId="535167854">
    <w:abstractNumId w:val="1"/>
  </w:num>
  <w:num w:numId="2" w16cid:durableId="1969555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3C2"/>
    <w:rsid w:val="00012C31"/>
    <w:rsid w:val="000146A2"/>
    <w:rsid w:val="00017E28"/>
    <w:rsid w:val="00031C3F"/>
    <w:rsid w:val="00033338"/>
    <w:rsid w:val="000436EA"/>
    <w:rsid w:val="00050E6F"/>
    <w:rsid w:val="00056466"/>
    <w:rsid w:val="00057218"/>
    <w:rsid w:val="000A4C17"/>
    <w:rsid w:val="000B7154"/>
    <w:rsid w:val="000C0C21"/>
    <w:rsid w:val="000E3B0B"/>
    <w:rsid w:val="0010062F"/>
    <w:rsid w:val="00104B90"/>
    <w:rsid w:val="001154C3"/>
    <w:rsid w:val="00136E4B"/>
    <w:rsid w:val="0014781B"/>
    <w:rsid w:val="00190671"/>
    <w:rsid w:val="00191AE3"/>
    <w:rsid w:val="00194959"/>
    <w:rsid w:val="00196444"/>
    <w:rsid w:val="001C0A75"/>
    <w:rsid w:val="001C2324"/>
    <w:rsid w:val="001E1995"/>
    <w:rsid w:val="001E2B97"/>
    <w:rsid w:val="00200EA7"/>
    <w:rsid w:val="00205C36"/>
    <w:rsid w:val="00215DB8"/>
    <w:rsid w:val="0024727E"/>
    <w:rsid w:val="002544A8"/>
    <w:rsid w:val="00254EDC"/>
    <w:rsid w:val="0027017A"/>
    <w:rsid w:val="00280CBB"/>
    <w:rsid w:val="00291D79"/>
    <w:rsid w:val="002A492E"/>
    <w:rsid w:val="002B076A"/>
    <w:rsid w:val="002D12AE"/>
    <w:rsid w:val="002E0935"/>
    <w:rsid w:val="002E1D64"/>
    <w:rsid w:val="002F0ECB"/>
    <w:rsid w:val="00316ACB"/>
    <w:rsid w:val="00322694"/>
    <w:rsid w:val="00332BFB"/>
    <w:rsid w:val="00343510"/>
    <w:rsid w:val="003572ED"/>
    <w:rsid w:val="003711DF"/>
    <w:rsid w:val="003761C7"/>
    <w:rsid w:val="00394AD8"/>
    <w:rsid w:val="003A4DCF"/>
    <w:rsid w:val="003B6FDC"/>
    <w:rsid w:val="003D7E19"/>
    <w:rsid w:val="00420821"/>
    <w:rsid w:val="0046265B"/>
    <w:rsid w:val="004726A9"/>
    <w:rsid w:val="00493CF0"/>
    <w:rsid w:val="0049571C"/>
    <w:rsid w:val="004962E4"/>
    <w:rsid w:val="00496C8D"/>
    <w:rsid w:val="004A4B83"/>
    <w:rsid w:val="004C164A"/>
    <w:rsid w:val="004C5699"/>
    <w:rsid w:val="004F56F1"/>
    <w:rsid w:val="005006A8"/>
    <w:rsid w:val="005210B4"/>
    <w:rsid w:val="00523183"/>
    <w:rsid w:val="005258B3"/>
    <w:rsid w:val="00543EC5"/>
    <w:rsid w:val="005553D9"/>
    <w:rsid w:val="0059400D"/>
    <w:rsid w:val="005A1C84"/>
    <w:rsid w:val="005B1E3B"/>
    <w:rsid w:val="005B4D2D"/>
    <w:rsid w:val="005C53CE"/>
    <w:rsid w:val="005F3454"/>
    <w:rsid w:val="00606983"/>
    <w:rsid w:val="00611830"/>
    <w:rsid w:val="00612711"/>
    <w:rsid w:val="00634BC0"/>
    <w:rsid w:val="00656771"/>
    <w:rsid w:val="00683DFB"/>
    <w:rsid w:val="00684351"/>
    <w:rsid w:val="00693E3D"/>
    <w:rsid w:val="006A463D"/>
    <w:rsid w:val="006B678E"/>
    <w:rsid w:val="006D1001"/>
    <w:rsid w:val="006E7E0A"/>
    <w:rsid w:val="006F48D4"/>
    <w:rsid w:val="00701E22"/>
    <w:rsid w:val="00704D95"/>
    <w:rsid w:val="00731CD6"/>
    <w:rsid w:val="00735107"/>
    <w:rsid w:val="0074430C"/>
    <w:rsid w:val="00746B76"/>
    <w:rsid w:val="00750A83"/>
    <w:rsid w:val="00767299"/>
    <w:rsid w:val="007708BF"/>
    <w:rsid w:val="00771641"/>
    <w:rsid w:val="00781B64"/>
    <w:rsid w:val="007C4D60"/>
    <w:rsid w:val="007C56D6"/>
    <w:rsid w:val="007D1BBF"/>
    <w:rsid w:val="007D4047"/>
    <w:rsid w:val="007D5C96"/>
    <w:rsid w:val="00815E43"/>
    <w:rsid w:val="00827F72"/>
    <w:rsid w:val="00896DD3"/>
    <w:rsid w:val="008A068B"/>
    <w:rsid w:val="008B6479"/>
    <w:rsid w:val="008C143C"/>
    <w:rsid w:val="008C46F5"/>
    <w:rsid w:val="008C5A59"/>
    <w:rsid w:val="008D21D3"/>
    <w:rsid w:val="008D2732"/>
    <w:rsid w:val="008D5200"/>
    <w:rsid w:val="008D5292"/>
    <w:rsid w:val="008F2410"/>
    <w:rsid w:val="008F5135"/>
    <w:rsid w:val="00961002"/>
    <w:rsid w:val="00974752"/>
    <w:rsid w:val="00987335"/>
    <w:rsid w:val="009B6626"/>
    <w:rsid w:val="009D47B7"/>
    <w:rsid w:val="00A03286"/>
    <w:rsid w:val="00A05E7C"/>
    <w:rsid w:val="00A12FE6"/>
    <w:rsid w:val="00A20EA2"/>
    <w:rsid w:val="00A267DD"/>
    <w:rsid w:val="00A50A4C"/>
    <w:rsid w:val="00A72097"/>
    <w:rsid w:val="00A76301"/>
    <w:rsid w:val="00AB2487"/>
    <w:rsid w:val="00AC1545"/>
    <w:rsid w:val="00AC3243"/>
    <w:rsid w:val="00AC4C88"/>
    <w:rsid w:val="00AD57F4"/>
    <w:rsid w:val="00AE4BB3"/>
    <w:rsid w:val="00AF3F83"/>
    <w:rsid w:val="00AF6054"/>
    <w:rsid w:val="00B20823"/>
    <w:rsid w:val="00B273C2"/>
    <w:rsid w:val="00B5730E"/>
    <w:rsid w:val="00B65BB4"/>
    <w:rsid w:val="00BD39EC"/>
    <w:rsid w:val="00BE7581"/>
    <w:rsid w:val="00C23EED"/>
    <w:rsid w:val="00C77E03"/>
    <w:rsid w:val="00C82D0B"/>
    <w:rsid w:val="00C84AE1"/>
    <w:rsid w:val="00C91EFA"/>
    <w:rsid w:val="00C9339D"/>
    <w:rsid w:val="00CA02DB"/>
    <w:rsid w:val="00CA1D9C"/>
    <w:rsid w:val="00CA3B5C"/>
    <w:rsid w:val="00CA77C3"/>
    <w:rsid w:val="00CB37CB"/>
    <w:rsid w:val="00CC6728"/>
    <w:rsid w:val="00CD2E11"/>
    <w:rsid w:val="00CD6775"/>
    <w:rsid w:val="00CD7D57"/>
    <w:rsid w:val="00CE5E96"/>
    <w:rsid w:val="00CF45B3"/>
    <w:rsid w:val="00D26E8B"/>
    <w:rsid w:val="00D66281"/>
    <w:rsid w:val="00D817E5"/>
    <w:rsid w:val="00D92873"/>
    <w:rsid w:val="00D92FFF"/>
    <w:rsid w:val="00D93EE2"/>
    <w:rsid w:val="00DF6174"/>
    <w:rsid w:val="00DF7BBB"/>
    <w:rsid w:val="00E177C8"/>
    <w:rsid w:val="00E240E1"/>
    <w:rsid w:val="00E25548"/>
    <w:rsid w:val="00E45F60"/>
    <w:rsid w:val="00E65F9F"/>
    <w:rsid w:val="00E818C8"/>
    <w:rsid w:val="00EB485D"/>
    <w:rsid w:val="00ED1B92"/>
    <w:rsid w:val="00ED42B2"/>
    <w:rsid w:val="00F12AFD"/>
    <w:rsid w:val="00F14429"/>
    <w:rsid w:val="00F34E30"/>
    <w:rsid w:val="00F42F85"/>
    <w:rsid w:val="00F439CD"/>
    <w:rsid w:val="00F52DA7"/>
    <w:rsid w:val="00F55AC0"/>
    <w:rsid w:val="00F671F6"/>
    <w:rsid w:val="00F73749"/>
    <w:rsid w:val="00F861E5"/>
    <w:rsid w:val="00F929CD"/>
    <w:rsid w:val="00F95992"/>
    <w:rsid w:val="00FA2359"/>
    <w:rsid w:val="00FC139E"/>
    <w:rsid w:val="00FD1E8B"/>
    <w:rsid w:val="00FD35B0"/>
    <w:rsid w:val="00FE0542"/>
    <w:rsid w:val="00FF6E58"/>
    <w:rsid w:val="00FF733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FC1C9"/>
  <w15:chartTrackingRefBased/>
  <w15:docId w15:val="{1FF127EC-1C74-4774-AB7F-C88447EAF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3C2"/>
    <w:rPr>
      <w:rFonts w:ascii="HebarU" w:hAnsi="HebarU"/>
      <w:sz w:val="24"/>
      <w:lang w:eastAsia="en-US"/>
    </w:rPr>
  </w:style>
  <w:style w:type="paragraph" w:styleId="Heading2">
    <w:name w:val="heading 2"/>
    <w:basedOn w:val="Normal"/>
    <w:next w:val="Normal"/>
    <w:qFormat/>
    <w:rsid w:val="0046265B"/>
    <w:pPr>
      <w:keepNext/>
      <w:spacing w:before="240" w:after="60"/>
      <w:outlineLvl w:val="1"/>
    </w:pPr>
    <w:rPr>
      <w:rFonts w:ascii="Arial" w:hAnsi="Arial" w:cs="Arial"/>
      <w:b/>
      <w:bCs/>
      <w:i/>
      <w:iCs/>
      <w:sz w:val="28"/>
      <w:szCs w:val="28"/>
      <w:lang w:eastAsia="bg-BG"/>
    </w:rPr>
  </w:style>
  <w:style w:type="paragraph" w:styleId="Heading7">
    <w:name w:val="heading 7"/>
    <w:basedOn w:val="Normal"/>
    <w:next w:val="Normal"/>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rPr>
      <w:lang w:val="x-none"/>
    </w:rPr>
  </w:style>
  <w:style w:type="paragraph" w:styleId="Footer">
    <w:name w:val="footer"/>
    <w:basedOn w:val="Normal"/>
    <w:link w:val="FooterChar"/>
    <w:uiPriority w:val="99"/>
    <w:rsid w:val="00B273C2"/>
    <w:pPr>
      <w:tabs>
        <w:tab w:val="center" w:pos="4153"/>
        <w:tab w:val="right" w:pos="8306"/>
      </w:tabs>
    </w:p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52DA7"/>
    <w:pPr>
      <w:tabs>
        <w:tab w:val="left" w:pos="709"/>
      </w:tabs>
    </w:pPr>
    <w:rPr>
      <w:rFonts w:ascii="Futura Bk" w:hAnsi="Futura Bk"/>
      <w:noProof/>
      <w:sz w:val="20"/>
      <w:szCs w:val="24"/>
      <w:lang w:val="pl-PL" w:eastAsia="pl-PL"/>
    </w:rPr>
  </w:style>
  <w:style w:type="paragraph" w:styleId="BalloonText">
    <w:name w:val="Balloon Text"/>
    <w:basedOn w:val="Normal"/>
    <w:semiHidden/>
    <w:rsid w:val="00ED42B2"/>
    <w:rPr>
      <w:rFonts w:ascii="Tahoma" w:hAnsi="Tahoma" w:cs="Tahoma"/>
      <w:sz w:val="16"/>
      <w:szCs w:val="16"/>
    </w:rPr>
  </w:style>
  <w:style w:type="paragraph" w:customStyle="1" w:styleId="firstline">
    <w:name w:val="firstline"/>
    <w:basedOn w:val="Normal"/>
    <w:rsid w:val="00CB37CB"/>
    <w:pPr>
      <w:spacing w:line="240" w:lineRule="atLeast"/>
      <w:ind w:firstLine="640"/>
      <w:jc w:val="both"/>
    </w:pPr>
    <w:rPr>
      <w:rFonts w:ascii="Times New Roman" w:hAnsi="Times New Roman"/>
      <w:color w:val="000000"/>
      <w:szCs w:val="24"/>
      <w:lang w:eastAsia="bg-BG"/>
    </w:rPr>
  </w:style>
  <w:style w:type="character" w:styleId="Hyperlink">
    <w:name w:val="Hyperlink"/>
    <w:rsid w:val="00CA02DB"/>
    <w:rPr>
      <w:color w:val="0000FF"/>
      <w:u w:val="single"/>
    </w:rPr>
  </w:style>
  <w:style w:type="character" w:customStyle="1" w:styleId="HeaderChar">
    <w:name w:val="Header Char"/>
    <w:link w:val="Header"/>
    <w:uiPriority w:val="99"/>
    <w:rsid w:val="003711DF"/>
    <w:rPr>
      <w:rFonts w:ascii="HebarU" w:hAnsi="HebarU"/>
      <w:sz w:val="24"/>
      <w:lang w:eastAsia="en-US"/>
    </w:rPr>
  </w:style>
  <w:style w:type="character" w:styleId="CommentReference">
    <w:name w:val="annotation reference"/>
    <w:rsid w:val="00C91EFA"/>
    <w:rPr>
      <w:sz w:val="16"/>
      <w:szCs w:val="16"/>
    </w:rPr>
  </w:style>
  <w:style w:type="paragraph" w:styleId="CommentText">
    <w:name w:val="annotation text"/>
    <w:basedOn w:val="Normal"/>
    <w:link w:val="CommentTextChar"/>
    <w:rsid w:val="00C91EFA"/>
    <w:rPr>
      <w:sz w:val="20"/>
    </w:rPr>
  </w:style>
  <w:style w:type="character" w:customStyle="1" w:styleId="CommentTextChar">
    <w:name w:val="Comment Text Char"/>
    <w:link w:val="CommentText"/>
    <w:rsid w:val="00C91EFA"/>
    <w:rPr>
      <w:rFonts w:ascii="HebarU" w:hAnsi="HebarU"/>
      <w:lang w:eastAsia="en-US"/>
    </w:rPr>
  </w:style>
  <w:style w:type="paragraph" w:styleId="CommentSubject">
    <w:name w:val="annotation subject"/>
    <w:basedOn w:val="CommentText"/>
    <w:next w:val="CommentText"/>
    <w:link w:val="CommentSubjectChar"/>
    <w:rsid w:val="00C91EFA"/>
    <w:rPr>
      <w:b/>
      <w:bCs/>
    </w:rPr>
  </w:style>
  <w:style w:type="character" w:customStyle="1" w:styleId="CommentSubjectChar">
    <w:name w:val="Comment Subject Char"/>
    <w:link w:val="CommentSubject"/>
    <w:rsid w:val="00C91EFA"/>
    <w:rPr>
      <w:rFonts w:ascii="HebarU" w:hAnsi="HebarU"/>
      <w:b/>
      <w:bCs/>
      <w:lang w:eastAsia="en-US"/>
    </w:rPr>
  </w:style>
  <w:style w:type="paragraph" w:styleId="FootnoteText">
    <w:name w:val="footnote text"/>
    <w:basedOn w:val="Normal"/>
    <w:link w:val="FootnoteTextChar"/>
    <w:rsid w:val="002F0ECB"/>
    <w:rPr>
      <w:sz w:val="20"/>
    </w:rPr>
  </w:style>
  <w:style w:type="character" w:customStyle="1" w:styleId="FootnoteTextChar">
    <w:name w:val="Footnote Text Char"/>
    <w:link w:val="FootnoteText"/>
    <w:rsid w:val="002F0ECB"/>
    <w:rPr>
      <w:rFonts w:ascii="HebarU" w:hAnsi="HebarU"/>
      <w:lang w:eastAsia="en-US"/>
    </w:rPr>
  </w:style>
  <w:style w:type="character" w:styleId="FootnoteReference">
    <w:name w:val="footnote reference"/>
    <w:rsid w:val="002F0ECB"/>
    <w:rPr>
      <w:vertAlign w:val="superscript"/>
    </w:rPr>
  </w:style>
  <w:style w:type="paragraph" w:styleId="EndnoteText">
    <w:name w:val="endnote text"/>
    <w:basedOn w:val="Normal"/>
    <w:link w:val="EndnoteTextChar"/>
    <w:rsid w:val="002F0ECB"/>
    <w:rPr>
      <w:sz w:val="20"/>
    </w:rPr>
  </w:style>
  <w:style w:type="character" w:customStyle="1" w:styleId="EndnoteTextChar">
    <w:name w:val="Endnote Text Char"/>
    <w:link w:val="EndnoteText"/>
    <w:rsid w:val="002F0ECB"/>
    <w:rPr>
      <w:rFonts w:ascii="HebarU" w:hAnsi="HebarU"/>
      <w:lang w:eastAsia="en-US"/>
    </w:rPr>
  </w:style>
  <w:style w:type="character" w:styleId="EndnoteReference">
    <w:name w:val="endnote reference"/>
    <w:rsid w:val="002F0ECB"/>
    <w:rPr>
      <w:vertAlign w:val="superscript"/>
    </w:rPr>
  </w:style>
  <w:style w:type="paragraph" w:customStyle="1" w:styleId="Default">
    <w:name w:val="Default"/>
    <w:rsid w:val="008B6479"/>
    <w:pPr>
      <w:autoSpaceDE w:val="0"/>
      <w:autoSpaceDN w:val="0"/>
      <w:adjustRightInd w:val="0"/>
    </w:pPr>
    <w:rPr>
      <w:rFonts w:eastAsia="Calibri"/>
      <w:color w:val="000000"/>
      <w:sz w:val="24"/>
      <w:szCs w:val="24"/>
      <w:lang w:val="en-GB" w:eastAsia="en-US"/>
    </w:rPr>
  </w:style>
  <w:style w:type="character" w:customStyle="1" w:styleId="FooterChar">
    <w:name w:val="Footer Char"/>
    <w:basedOn w:val="DefaultParagraphFont"/>
    <w:link w:val="Footer"/>
    <w:uiPriority w:val="99"/>
    <w:rsid w:val="008D5292"/>
    <w:rPr>
      <w:rFonts w:ascii="HebarU" w:hAnsi="HebarU"/>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762907">
      <w:bodyDiv w:val="1"/>
      <w:marLeft w:val="0"/>
      <w:marRight w:val="0"/>
      <w:marTop w:val="0"/>
      <w:marBottom w:val="0"/>
      <w:divBdr>
        <w:top w:val="none" w:sz="0" w:space="0" w:color="auto"/>
        <w:left w:val="none" w:sz="0" w:space="0" w:color="auto"/>
        <w:bottom w:val="none" w:sz="0" w:space="0" w:color="auto"/>
        <w:right w:val="none" w:sz="0" w:space="0" w:color="auto"/>
      </w:divBdr>
    </w:div>
    <w:div w:id="1304576676">
      <w:bodyDiv w:val="1"/>
      <w:marLeft w:val="0"/>
      <w:marRight w:val="0"/>
      <w:marTop w:val="0"/>
      <w:marBottom w:val="0"/>
      <w:divBdr>
        <w:top w:val="none" w:sz="0" w:space="0" w:color="auto"/>
        <w:left w:val="none" w:sz="0" w:space="0" w:color="auto"/>
        <w:bottom w:val="none" w:sz="0" w:space="0" w:color="auto"/>
        <w:right w:val="none" w:sz="0" w:space="0" w:color="auto"/>
      </w:divBdr>
    </w:div>
    <w:div w:id="204270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68B2B-F683-43B3-B911-905496DA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1522</Words>
  <Characters>8677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vt:lpstr>
    </vt:vector>
  </TitlesOfParts>
  <Company>Council of Ministers</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a.toteva</dc:creator>
  <cp:keywords/>
  <cp:lastModifiedBy>Zornitsa Boycheva</cp:lastModifiedBy>
  <cp:revision>20</cp:revision>
  <cp:lastPrinted>2011-03-29T11:47:00Z</cp:lastPrinted>
  <dcterms:created xsi:type="dcterms:W3CDTF">2025-12-05T07:57:00Z</dcterms:created>
  <dcterms:modified xsi:type="dcterms:W3CDTF">2026-05-10T07:55:00Z</dcterms:modified>
</cp:coreProperties>
</file>